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3A" w:rsidRPr="002F4290" w:rsidRDefault="00D71E3A" w:rsidP="00D71E3A">
      <w:pPr>
        <w:jc w:val="center"/>
        <w:rPr>
          <w:b/>
          <w:color w:val="000000" w:themeColor="text1"/>
          <w:sz w:val="24"/>
          <w:szCs w:val="24"/>
        </w:rPr>
      </w:pPr>
      <w:r w:rsidRPr="002F4290">
        <w:rPr>
          <w:b/>
          <w:color w:val="000000" w:themeColor="text1"/>
          <w:sz w:val="24"/>
          <w:szCs w:val="24"/>
        </w:rPr>
        <w:t>АННОТАЦИЯ</w:t>
      </w:r>
    </w:p>
    <w:p w:rsidR="00D71E3A" w:rsidRPr="002F4290" w:rsidRDefault="00D71E3A" w:rsidP="00D71E3A">
      <w:pPr>
        <w:jc w:val="center"/>
        <w:rPr>
          <w:color w:val="000000" w:themeColor="text1"/>
          <w:sz w:val="24"/>
          <w:szCs w:val="24"/>
        </w:rPr>
      </w:pPr>
      <w:r w:rsidRPr="002F4290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color w:val="000000" w:themeColor="text1"/>
                <w:sz w:val="24"/>
                <w:szCs w:val="24"/>
              </w:rPr>
              <w:t>Анализ практики рассмотрения экономических споров</w:t>
            </w:r>
          </w:p>
        </w:tc>
      </w:tr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2F4290" w:rsidRPr="002A4553" w:rsidTr="00BB732F">
        <w:tc>
          <w:tcPr>
            <w:tcW w:w="3261" w:type="dxa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D71E3A" w:rsidRPr="002A4553" w:rsidRDefault="002A4553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A4553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D71E3A" w:rsidRPr="002A4553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F4290" w:rsidRPr="002A455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2A4553" w:rsidRDefault="00D71E3A" w:rsidP="00BA1CB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A1CBE" w:rsidRPr="002A4553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1. Арбитражный процесс как самостоятельная отрасль российского права. Субъекты арбитражных процессуальных правоотношений. Подведомственность и подсудность дел арбитражным судам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2. Практика рассмотрения экономических дел в арбитражном суде первой инстанции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3. Практика пересмотра судебных актов арбитражных судов по экономическим спорам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4. Практика рассмотрения экономических споров в особом производстве в арбитражном процессе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5. Практика рассмотрения корпоративных споров в арбитражных судах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6. Особенности судопроизводства по делам, возникающим из административных и иных публичных правоотношений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7. Особенности судопроизводства по делам о несостоятельности (банкротстве)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8. Практика рассмотрения экономических споров в упрощенном судопроизводстве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9. Особенности судопроизводства по делам, связанным с исполнением судебных актов арбитражных судов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10. Практика рассмотрения экономических споров третейскими судами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F429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Тема 11. Международный арбитражный процесс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A455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D71E3A" w:rsidRPr="002A4553" w:rsidRDefault="00D71E3A" w:rsidP="002A455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Решетникова, И. В. </w:t>
            </w:r>
            <w:r w:rsidRPr="002A4553">
              <w:rPr>
                <w:bCs/>
                <w:color w:val="000000" w:themeColor="text1"/>
                <w:sz w:val="24"/>
                <w:szCs w:val="24"/>
              </w:rPr>
              <w:t>Арбитражный</w:t>
            </w:r>
            <w:r w:rsidRPr="002A4553">
              <w:rPr>
                <w:color w:val="000000" w:themeColor="text1"/>
                <w:sz w:val="24"/>
                <w:szCs w:val="24"/>
              </w:rPr>
              <w:t> </w:t>
            </w:r>
            <w:r w:rsidRPr="002A4553">
              <w:rPr>
                <w:bCs/>
                <w:color w:val="000000" w:themeColor="text1"/>
                <w:sz w:val="24"/>
                <w:szCs w:val="24"/>
              </w:rPr>
              <w:t>процесс</w:t>
            </w:r>
            <w:r w:rsidRPr="002A4553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2A45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A4553">
              <w:rPr>
                <w:color w:val="000000" w:themeColor="text1"/>
                <w:sz w:val="24"/>
                <w:szCs w:val="24"/>
              </w:rPr>
              <w:t xml:space="preserve"> учебное пособие / И. В. Решетникова, М. А. Куликова, Е. А.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Царегородцева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 xml:space="preserve">. - 2-е изд., пересмотр. - </w:t>
            </w:r>
            <w:proofErr w:type="gramStart"/>
            <w:r w:rsidRPr="002A45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A4553">
              <w:rPr>
                <w:color w:val="000000" w:themeColor="text1"/>
                <w:sz w:val="24"/>
                <w:szCs w:val="24"/>
              </w:rPr>
              <w:t xml:space="preserve"> Норма: ИНФРА-М, 2019. - 400 с. </w:t>
            </w:r>
            <w:hyperlink r:id="rId5" w:history="1">
              <w:r w:rsidRPr="002A4553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http://znanium.com/go.php?id=996219</w:t>
              </w:r>
            </w:hyperlink>
          </w:p>
          <w:p w:rsidR="00D71E3A" w:rsidRPr="002A4553" w:rsidRDefault="00D71E3A" w:rsidP="002A455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D71E3A" w:rsidRPr="002A4553" w:rsidRDefault="00D71E3A" w:rsidP="002A455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2A4553">
              <w:rPr>
                <w:color w:val="000000" w:themeColor="text1"/>
                <w:kern w:val="0"/>
                <w:sz w:val="24"/>
                <w:szCs w:val="24"/>
              </w:rPr>
              <w:t>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2A4553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2A4553">
              <w:rPr>
                <w:color w:val="000000" w:themeColor="text1"/>
                <w:kern w:val="0"/>
                <w:sz w:val="24"/>
                <w:szCs w:val="24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2A4553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2A4553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- 212 с. </w:t>
            </w:r>
            <w:hyperlink r:id="rId6" w:history="1">
              <w:r w:rsidRPr="002A455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http://znanium.com/go.php?id=982627</w:t>
              </w:r>
            </w:hyperlink>
          </w:p>
          <w:p w:rsidR="00D71E3A" w:rsidRPr="002A4553" w:rsidRDefault="00D71E3A" w:rsidP="002A455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Клейн, Н. И. Встречный иск в суде и арбитраже [Электронный ресурс</w:t>
            </w:r>
            <w:proofErr w:type="gramStart"/>
            <w:r w:rsidRPr="002A455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A4553">
              <w:rPr>
                <w:color w:val="000000" w:themeColor="text1"/>
                <w:sz w:val="24"/>
                <w:szCs w:val="24"/>
              </w:rPr>
              <w:t xml:space="preserve"> научное издание / Н. И. Клейн. - </w:t>
            </w:r>
            <w:proofErr w:type="gramStart"/>
            <w:r w:rsidRPr="002A455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A4553">
              <w:rPr>
                <w:color w:val="000000" w:themeColor="text1"/>
                <w:sz w:val="24"/>
                <w:szCs w:val="24"/>
              </w:rPr>
              <w:t xml:space="preserve"> Статут, 2017. - 368 с. </w:t>
            </w:r>
            <w:hyperlink r:id="rId7" w:history="1">
              <w:r w:rsidRPr="002A4553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http://znanium.com/go.php?id=1014790</w:t>
              </w:r>
            </w:hyperlink>
          </w:p>
        </w:tc>
      </w:tr>
      <w:tr w:rsidR="002F4290" w:rsidRPr="002A455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2A4553" w:rsidRDefault="00D71E3A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71E3A" w:rsidRPr="002A4553" w:rsidRDefault="00D71E3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4553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A4553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71E3A" w:rsidRPr="002A4553" w:rsidRDefault="00D71E3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71E3A" w:rsidRPr="002A4553" w:rsidRDefault="00D71E3A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71E3A" w:rsidRPr="002A4553" w:rsidRDefault="00D71E3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D71E3A" w:rsidRPr="002A4553" w:rsidRDefault="00D71E3A" w:rsidP="00BB732F">
            <w:pPr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F4290" w:rsidRPr="002A455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2A4553" w:rsidRDefault="00D71E3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F4290" w:rsidRPr="002A455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2A4553" w:rsidRDefault="00D71E3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A4553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F4290" w:rsidRPr="002A4553" w:rsidTr="00BB732F">
        <w:tc>
          <w:tcPr>
            <w:tcW w:w="9923" w:type="dxa"/>
            <w:gridSpan w:val="3"/>
          </w:tcPr>
          <w:p w:rsidR="00D71E3A" w:rsidRPr="002A4553" w:rsidRDefault="00D71E3A" w:rsidP="002A45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A455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71E3A" w:rsidRPr="002F4290" w:rsidRDefault="00D71E3A" w:rsidP="00D71E3A">
      <w:pPr>
        <w:ind w:left="-284"/>
        <w:rPr>
          <w:color w:val="000000" w:themeColor="text1"/>
          <w:sz w:val="24"/>
          <w:szCs w:val="24"/>
        </w:rPr>
      </w:pPr>
    </w:p>
    <w:p w:rsidR="00D71E3A" w:rsidRPr="002F4290" w:rsidRDefault="00D71E3A" w:rsidP="00D71E3A">
      <w:pPr>
        <w:ind w:left="-284"/>
        <w:rPr>
          <w:color w:val="000000" w:themeColor="text1"/>
          <w:sz w:val="24"/>
          <w:szCs w:val="24"/>
        </w:rPr>
      </w:pPr>
      <w:r w:rsidRPr="002F4290">
        <w:rPr>
          <w:color w:val="000000" w:themeColor="text1"/>
          <w:sz w:val="24"/>
          <w:szCs w:val="24"/>
        </w:rPr>
        <w:t>Аннотацию подготовил</w:t>
      </w:r>
      <w:r w:rsidR="002A4553">
        <w:rPr>
          <w:color w:val="000000" w:themeColor="text1"/>
          <w:sz w:val="24"/>
          <w:szCs w:val="24"/>
        </w:rPr>
        <w:t>и</w:t>
      </w:r>
      <w:r w:rsidRPr="002F4290">
        <w:rPr>
          <w:color w:val="000000" w:themeColor="text1"/>
          <w:sz w:val="24"/>
          <w:szCs w:val="24"/>
        </w:rPr>
        <w:t xml:space="preserve">                                </w:t>
      </w:r>
      <w:r w:rsidRPr="002F4290">
        <w:rPr>
          <w:color w:val="000000" w:themeColor="text1"/>
          <w:sz w:val="24"/>
          <w:szCs w:val="24"/>
        </w:rPr>
        <w:tab/>
        <w:t xml:space="preserve">                         </w:t>
      </w:r>
      <w:proofErr w:type="spellStart"/>
      <w:r w:rsidR="002A4553" w:rsidRPr="002F4290">
        <w:rPr>
          <w:color w:val="000000" w:themeColor="text1"/>
          <w:sz w:val="24"/>
          <w:szCs w:val="24"/>
        </w:rPr>
        <w:t>Курдюмов</w:t>
      </w:r>
      <w:proofErr w:type="spellEnd"/>
      <w:r w:rsidR="002A4553" w:rsidRPr="002F429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A4553">
        <w:rPr>
          <w:color w:val="000000" w:themeColor="text1"/>
          <w:sz w:val="24"/>
          <w:szCs w:val="24"/>
        </w:rPr>
        <w:t>А.В.</w:t>
      </w:r>
      <w:r w:rsidR="002A4553" w:rsidRPr="002F4290">
        <w:rPr>
          <w:color w:val="000000" w:themeColor="text1"/>
          <w:sz w:val="24"/>
          <w:szCs w:val="24"/>
        </w:rPr>
        <w:t>,</w:t>
      </w:r>
      <w:r w:rsidRPr="002F4290">
        <w:rPr>
          <w:color w:val="000000" w:themeColor="text1"/>
          <w:sz w:val="24"/>
          <w:szCs w:val="24"/>
        </w:rPr>
        <w:t>Чуркина</w:t>
      </w:r>
      <w:proofErr w:type="spellEnd"/>
      <w:proofErr w:type="gramEnd"/>
      <w:r w:rsidRPr="002F4290">
        <w:rPr>
          <w:color w:val="000000" w:themeColor="text1"/>
          <w:sz w:val="24"/>
          <w:szCs w:val="24"/>
        </w:rPr>
        <w:t xml:space="preserve"> </w:t>
      </w:r>
      <w:r w:rsidR="002A4553">
        <w:rPr>
          <w:color w:val="000000" w:themeColor="text1"/>
          <w:sz w:val="24"/>
          <w:szCs w:val="24"/>
        </w:rPr>
        <w:t>Л.М.</w:t>
      </w:r>
      <w:r w:rsidRPr="002F4290">
        <w:rPr>
          <w:color w:val="000000" w:themeColor="text1"/>
          <w:sz w:val="24"/>
          <w:szCs w:val="24"/>
        </w:rPr>
        <w:t xml:space="preserve">             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2A4553" w:rsidRDefault="002A4553" w:rsidP="002A455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2A4553" w:rsidRDefault="002A4553" w:rsidP="002A455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A4553" w:rsidRDefault="002A4553" w:rsidP="002A455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A4553" w:rsidRDefault="002A4553" w:rsidP="002A4553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2A4553" w:rsidRDefault="002A4553" w:rsidP="002A455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2A4553" w:rsidRDefault="002A4553" w:rsidP="002A4553">
      <w:pPr>
        <w:ind w:left="-284"/>
        <w:rPr>
          <w:kern w:val="2"/>
          <w:sz w:val="24"/>
          <w:szCs w:val="24"/>
        </w:rPr>
      </w:pPr>
    </w:p>
    <w:p w:rsidR="002A4553" w:rsidRPr="002F4290" w:rsidRDefault="002A4553">
      <w:pPr>
        <w:rPr>
          <w:color w:val="000000" w:themeColor="text1"/>
        </w:rPr>
      </w:pPr>
    </w:p>
    <w:sectPr w:rsidR="002A4553" w:rsidRPr="002F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2A4553"/>
    <w:rsid w:val="002F4290"/>
    <w:rsid w:val="003F53D1"/>
    <w:rsid w:val="0052699D"/>
    <w:rsid w:val="005B60CD"/>
    <w:rsid w:val="00917442"/>
    <w:rsid w:val="00BA1CBE"/>
    <w:rsid w:val="00C76086"/>
    <w:rsid w:val="00D71E3A"/>
    <w:rsid w:val="00EC1B55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E94A"/>
  <w15:docId w15:val="{88216C19-3F49-4AD9-B607-A8697E5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1E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B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8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4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27" TargetMode="External"/><Relationship Id="rId5" Type="http://schemas.openxmlformats.org/officeDocument/2006/relationships/hyperlink" Target="http://znanium.com/go.php?id=9962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5</cp:revision>
  <cp:lastPrinted>2019-04-02T09:22:00Z</cp:lastPrinted>
  <dcterms:created xsi:type="dcterms:W3CDTF">2019-03-15T11:12:00Z</dcterms:created>
  <dcterms:modified xsi:type="dcterms:W3CDTF">2019-08-13T10:05:00Z</dcterms:modified>
</cp:coreProperties>
</file>